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1E26" w14:textId="3AF3D16B" w:rsidR="00C26825" w:rsidRPr="009A3193" w:rsidRDefault="00EA3BE3" w:rsidP="00C26825">
      <w:pPr>
        <w:jc w:val="center"/>
        <w:rPr>
          <w:b/>
          <w:bCs/>
          <w:smallCaps/>
          <w:spacing w:val="20"/>
          <w:lang w:val="ru-RU"/>
        </w:rPr>
      </w:pPr>
      <w:r w:rsidRPr="009A3193">
        <w:rPr>
          <w:b/>
          <w:bCs/>
          <w:smallCaps/>
          <w:spacing w:val="20"/>
          <w:lang w:val="ru-RU"/>
        </w:rPr>
        <w:t>КОНСУЛЬТАТИВНЫЙ СОВЕТ</w:t>
      </w:r>
    </w:p>
    <w:p w14:paraId="29CD4C7B" w14:textId="77777777" w:rsidR="00C26825" w:rsidRPr="009A3193" w:rsidRDefault="00C26825" w:rsidP="00C26825">
      <w:pPr>
        <w:jc w:val="center"/>
        <w:rPr>
          <w:b/>
          <w:bCs/>
          <w:smallCaps/>
          <w:spacing w:val="20"/>
          <w:lang w:val="ru-RU"/>
        </w:rPr>
      </w:pPr>
    </w:p>
    <w:p w14:paraId="6781A5AD" w14:textId="357C3C26" w:rsidR="00EA3BE3" w:rsidRPr="009A3193" w:rsidRDefault="00EA3BE3" w:rsidP="00C26825">
      <w:pPr>
        <w:jc w:val="center"/>
        <w:rPr>
          <w:b/>
          <w:bCs/>
          <w:smallCaps/>
          <w:spacing w:val="20"/>
          <w:lang w:val="ru-RU"/>
        </w:rPr>
      </w:pPr>
      <w:r w:rsidRPr="009A3193">
        <w:rPr>
          <w:b/>
          <w:bCs/>
          <w:smallCaps/>
          <w:spacing w:val="20"/>
          <w:lang w:val="ru-RU"/>
        </w:rPr>
        <w:t xml:space="preserve">Круглый стол на тему «Лидер Нации и </w:t>
      </w:r>
      <w:proofErr w:type="gramStart"/>
      <w:r w:rsidRPr="009A3193">
        <w:rPr>
          <w:b/>
          <w:bCs/>
          <w:smallCaps/>
          <w:spacing w:val="20"/>
          <w:lang w:val="ru-RU"/>
        </w:rPr>
        <w:t>Устойчивое Предпринимательство</w:t>
      </w:r>
      <w:proofErr w:type="gramEnd"/>
      <w:r w:rsidRPr="009A3193">
        <w:rPr>
          <w:b/>
          <w:bCs/>
          <w:smallCaps/>
          <w:spacing w:val="20"/>
          <w:lang w:val="ru-RU"/>
        </w:rPr>
        <w:t xml:space="preserve"> и Цели в области Инвестиционного Развития»</w:t>
      </w:r>
    </w:p>
    <w:p w14:paraId="2FB76EA8" w14:textId="77777777" w:rsidR="00C26825" w:rsidRPr="009A3193" w:rsidRDefault="00C26825" w:rsidP="00C26825">
      <w:pPr>
        <w:jc w:val="center"/>
        <w:rPr>
          <w:b/>
          <w:bCs/>
          <w:smallCaps/>
          <w:spacing w:val="20"/>
          <w:lang w:val="ru-RU"/>
        </w:rPr>
      </w:pPr>
    </w:p>
    <w:p w14:paraId="2B1CF741" w14:textId="2B753C47" w:rsidR="00C26825" w:rsidRPr="009A3193" w:rsidRDefault="00EA3BE3" w:rsidP="00C26825">
      <w:pPr>
        <w:jc w:val="center"/>
        <w:rPr>
          <w:b/>
          <w:bCs/>
          <w:smallCaps/>
          <w:spacing w:val="20"/>
          <w:lang w:val="ru-RU"/>
        </w:rPr>
      </w:pPr>
      <w:r w:rsidRPr="009A3193">
        <w:rPr>
          <w:b/>
          <w:bCs/>
          <w:smallCaps/>
          <w:spacing w:val="20"/>
          <w:lang w:val="ru-RU"/>
        </w:rPr>
        <w:t>Здание Национальной Библиотеки</w:t>
      </w:r>
      <w:r w:rsidR="00C26825" w:rsidRPr="009A3193">
        <w:rPr>
          <w:b/>
          <w:bCs/>
          <w:smallCaps/>
          <w:spacing w:val="20"/>
          <w:lang w:val="ru-RU"/>
        </w:rPr>
        <w:t xml:space="preserve">, </w:t>
      </w:r>
      <w:r w:rsidRPr="009A3193">
        <w:rPr>
          <w:b/>
          <w:bCs/>
          <w:smallCaps/>
          <w:spacing w:val="20"/>
          <w:lang w:val="ru-RU"/>
        </w:rPr>
        <w:t>Душанбе - 7 июля 2021 г.</w:t>
      </w:r>
    </w:p>
    <w:p w14:paraId="11463263" w14:textId="77777777" w:rsidR="00C26825" w:rsidRPr="009A3193" w:rsidRDefault="00C26825" w:rsidP="00C26825">
      <w:pPr>
        <w:jc w:val="center"/>
        <w:rPr>
          <w:b/>
          <w:bCs/>
          <w:smallCaps/>
          <w:spacing w:val="20"/>
          <w:lang w:val="ru-RU"/>
        </w:rPr>
      </w:pPr>
    </w:p>
    <w:p w14:paraId="26B3ED73" w14:textId="77777777" w:rsidR="00EA3BE3" w:rsidRPr="009A3193" w:rsidRDefault="00EA3BE3" w:rsidP="00EA3BE3">
      <w:pPr>
        <w:spacing w:line="252" w:lineRule="auto"/>
        <w:contextualSpacing/>
        <w:jc w:val="center"/>
        <w:rPr>
          <w:i/>
          <w:iCs/>
          <w:szCs w:val="24"/>
          <w:lang w:val="ru-RU"/>
        </w:rPr>
      </w:pPr>
      <w:r w:rsidRPr="009A3193">
        <w:rPr>
          <w:i/>
          <w:iCs/>
          <w:szCs w:val="24"/>
          <w:lang w:val="ru-RU"/>
        </w:rPr>
        <w:t xml:space="preserve">Ян-Петер </w:t>
      </w:r>
      <w:proofErr w:type="spellStart"/>
      <w:r w:rsidRPr="009A3193">
        <w:rPr>
          <w:i/>
          <w:iCs/>
          <w:szCs w:val="24"/>
          <w:lang w:val="ru-RU"/>
        </w:rPr>
        <w:t>Олтерс</w:t>
      </w:r>
      <w:proofErr w:type="spellEnd"/>
    </w:p>
    <w:p w14:paraId="5FA92985" w14:textId="77777777" w:rsidR="00EA3BE3" w:rsidRPr="009A3193" w:rsidRDefault="00EA3BE3" w:rsidP="00EA3BE3">
      <w:pPr>
        <w:spacing w:line="252" w:lineRule="auto"/>
        <w:contextualSpacing/>
        <w:jc w:val="center"/>
        <w:rPr>
          <w:i/>
          <w:iCs/>
          <w:szCs w:val="24"/>
          <w:lang w:val="ru-RU"/>
        </w:rPr>
      </w:pPr>
    </w:p>
    <w:p w14:paraId="54A70692" w14:textId="2D045432" w:rsidR="00EA3BE3" w:rsidRPr="009A3193" w:rsidRDefault="00EA3BE3" w:rsidP="00EA3BE3">
      <w:pPr>
        <w:jc w:val="center"/>
        <w:rPr>
          <w:bCs/>
          <w:i/>
          <w:iCs/>
          <w:lang w:val="ru-RU"/>
        </w:rPr>
      </w:pPr>
      <w:r w:rsidRPr="009A3193">
        <w:rPr>
          <w:i/>
          <w:iCs/>
          <w:szCs w:val="24"/>
          <w:lang w:val="ru-RU"/>
        </w:rPr>
        <w:t>Председатель, Координационный совет по развитию</w:t>
      </w:r>
    </w:p>
    <w:p w14:paraId="7EFD6114" w14:textId="77777777" w:rsidR="00C26825" w:rsidRPr="009A3193" w:rsidRDefault="00C26825" w:rsidP="00C26825">
      <w:pPr>
        <w:jc w:val="both"/>
        <w:rPr>
          <w:bCs/>
          <w:lang w:val="ru-RU"/>
        </w:rPr>
      </w:pPr>
    </w:p>
    <w:p w14:paraId="59823978" w14:textId="77777777" w:rsidR="00C26825" w:rsidRPr="009A3193" w:rsidRDefault="00C26825" w:rsidP="00C26825">
      <w:pPr>
        <w:jc w:val="both"/>
        <w:rPr>
          <w:bCs/>
          <w:lang w:val="ru-RU"/>
        </w:rPr>
      </w:pPr>
    </w:p>
    <w:p w14:paraId="13839788" w14:textId="28DFF3CD" w:rsidR="005257E5" w:rsidRPr="009A3193" w:rsidRDefault="005257E5" w:rsidP="00C26825">
      <w:pPr>
        <w:jc w:val="both"/>
        <w:rPr>
          <w:bCs/>
          <w:lang w:val="ru-RU"/>
        </w:rPr>
      </w:pPr>
      <w:r w:rsidRPr="009A3193">
        <w:rPr>
          <w:bCs/>
          <w:lang w:val="ru-RU"/>
        </w:rPr>
        <w:t xml:space="preserve">Лето 2021 года </w:t>
      </w:r>
      <w:proofErr w:type="gramStart"/>
      <w:r w:rsidRPr="009A3193">
        <w:rPr>
          <w:bCs/>
          <w:lang w:val="ru-RU"/>
        </w:rPr>
        <w:t>- это</w:t>
      </w:r>
      <w:proofErr w:type="gramEnd"/>
      <w:r w:rsidRPr="009A3193">
        <w:rPr>
          <w:bCs/>
          <w:lang w:val="ru-RU"/>
        </w:rPr>
        <w:t xml:space="preserve"> балансирование на тонкой грани между </w:t>
      </w:r>
      <w:r w:rsidRPr="009A3193">
        <w:rPr>
          <w:bCs/>
          <w:i/>
          <w:lang w:val="ru-RU"/>
        </w:rPr>
        <w:t>уникальными возможностями</w:t>
      </w:r>
      <w:r w:rsidRPr="009A3193">
        <w:rPr>
          <w:bCs/>
          <w:lang w:val="ru-RU"/>
        </w:rPr>
        <w:t xml:space="preserve"> и </w:t>
      </w:r>
      <w:r w:rsidRPr="009A3193">
        <w:rPr>
          <w:bCs/>
          <w:i/>
          <w:lang w:val="ru-RU"/>
        </w:rPr>
        <w:t>значительными рисками</w:t>
      </w:r>
      <w:r w:rsidRPr="009A3193">
        <w:rPr>
          <w:bCs/>
          <w:lang w:val="ru-RU"/>
        </w:rPr>
        <w:t xml:space="preserve">. Всего за несколько месяцев возросла значимость обоих аспектов, что повысило важность принятия решений, касающихся последнего, в контексте первого, сочетающего стратегические среднесрочные и долгосрочные цели с экстренными мерами реагирования на чрезвычайные ситуации. Нынешняя ситуация, какой бы сложной она ни казалась, содержит составные элементы, с помощью которых Таджикистан сможет занять позицию, посредством которой страна сможет укрепить свои перспективы в области социально-экономического развития и заложить фундамент для устойчивого роста и создания рабочих мест. Именно на этом фоне члены </w:t>
      </w:r>
      <w:r w:rsidRPr="009A3193">
        <w:rPr>
          <w:bCs/>
          <w:i/>
          <w:lang w:val="ru-RU"/>
        </w:rPr>
        <w:t>Координационного совета по развитию (КСР)</w:t>
      </w:r>
      <w:r w:rsidRPr="009A3193">
        <w:rPr>
          <w:bCs/>
          <w:lang w:val="ru-RU"/>
        </w:rPr>
        <w:t xml:space="preserve"> особенно признательны </w:t>
      </w:r>
      <w:r w:rsidR="00F817B3" w:rsidRPr="00F817B3">
        <w:rPr>
          <w:bCs/>
          <w:lang w:val="ru-RU"/>
        </w:rPr>
        <w:t>Государственн</w:t>
      </w:r>
      <w:r w:rsidR="00F817B3">
        <w:rPr>
          <w:bCs/>
          <w:lang w:val="ru-RU"/>
        </w:rPr>
        <w:t>ому</w:t>
      </w:r>
      <w:r w:rsidR="00F817B3" w:rsidRPr="00F817B3">
        <w:rPr>
          <w:bCs/>
          <w:lang w:val="ru-RU"/>
        </w:rPr>
        <w:t xml:space="preserve"> комитет</w:t>
      </w:r>
      <w:r w:rsidR="00F817B3">
        <w:rPr>
          <w:bCs/>
          <w:lang w:val="ru-RU"/>
        </w:rPr>
        <w:t>у</w:t>
      </w:r>
      <w:r w:rsidR="00F817B3" w:rsidRPr="00F817B3">
        <w:rPr>
          <w:bCs/>
          <w:lang w:val="ru-RU"/>
        </w:rPr>
        <w:t xml:space="preserve"> по инвестициям и управлению государственным имуществом </w:t>
      </w:r>
      <w:r w:rsidR="00F817B3">
        <w:rPr>
          <w:bCs/>
          <w:lang w:val="ru-RU"/>
        </w:rPr>
        <w:t xml:space="preserve">и </w:t>
      </w:r>
      <w:r w:rsidRPr="009A3193">
        <w:rPr>
          <w:bCs/>
          <w:lang w:val="ru-RU"/>
        </w:rPr>
        <w:t xml:space="preserve">Консультативному совету за дальновидность в организации Круглого стола, посвященного вопросам </w:t>
      </w:r>
      <w:r w:rsidRPr="009A3193">
        <w:rPr>
          <w:bCs/>
          <w:i/>
          <w:lang w:val="ru-RU"/>
        </w:rPr>
        <w:t xml:space="preserve">Устойчивого </w:t>
      </w:r>
      <w:r w:rsidR="00A2028E">
        <w:rPr>
          <w:bCs/>
          <w:i/>
          <w:lang w:val="ru-RU"/>
        </w:rPr>
        <w:t>п</w:t>
      </w:r>
      <w:r w:rsidRPr="009A3193">
        <w:rPr>
          <w:bCs/>
          <w:i/>
          <w:lang w:val="ru-RU"/>
        </w:rPr>
        <w:t xml:space="preserve">редпринимательства и </w:t>
      </w:r>
      <w:r w:rsidR="00A2028E">
        <w:rPr>
          <w:bCs/>
          <w:i/>
          <w:lang w:val="ru-RU"/>
        </w:rPr>
        <w:t>и</w:t>
      </w:r>
      <w:r w:rsidRPr="009A3193">
        <w:rPr>
          <w:bCs/>
          <w:i/>
          <w:lang w:val="ru-RU"/>
        </w:rPr>
        <w:t xml:space="preserve">нвестиционного </w:t>
      </w:r>
      <w:r w:rsidR="00A2028E">
        <w:rPr>
          <w:bCs/>
          <w:i/>
          <w:lang w:val="ru-RU"/>
        </w:rPr>
        <w:t>р</w:t>
      </w:r>
      <w:r w:rsidRPr="009A3193">
        <w:rPr>
          <w:bCs/>
          <w:i/>
          <w:lang w:val="ru-RU"/>
        </w:rPr>
        <w:t>азвития</w:t>
      </w:r>
      <w:r w:rsidRPr="009A3193">
        <w:rPr>
          <w:bCs/>
          <w:lang w:val="ru-RU"/>
        </w:rPr>
        <w:t>, с целью определения надлежащих мер реагирования на возникающие риски (независимо от того, связаны ли они с ухудшением обстановки вдоль южной границы, требованиями в области смягчения последствий изменения климата или признаками второй волны пандемии) и отражения способов устойчивого выполнения дополнительных бюджетных обязательств.</w:t>
      </w:r>
    </w:p>
    <w:p w14:paraId="17A54F96" w14:textId="21FB23C8" w:rsidR="00146A69" w:rsidRPr="00AC244B" w:rsidRDefault="00146A69" w:rsidP="00547DF4">
      <w:pPr>
        <w:jc w:val="both"/>
        <w:rPr>
          <w:bCs/>
          <w:szCs w:val="24"/>
          <w:lang w:val="ru-RU"/>
        </w:rPr>
      </w:pPr>
    </w:p>
    <w:p w14:paraId="4AE1A2BA" w14:textId="0B5F564C" w:rsidR="003254C5" w:rsidRPr="009A3193" w:rsidRDefault="00D83825" w:rsidP="00C26825">
      <w:pPr>
        <w:jc w:val="both"/>
        <w:rPr>
          <w:bCs/>
          <w:lang w:val="ru-RU"/>
        </w:rPr>
      </w:pPr>
      <w:r w:rsidRPr="009A3193">
        <w:rPr>
          <w:bCs/>
          <w:lang w:val="ru-RU"/>
        </w:rPr>
        <w:t>Тема круглого стола уже содержит принципиальные решения в отношении стратегических вызовов, расширяя те, которые уже находятся в центре внимания социально-экономическ</w:t>
      </w:r>
      <w:r>
        <w:rPr>
          <w:bCs/>
          <w:lang w:val="ru-RU"/>
        </w:rPr>
        <w:t>их мер</w:t>
      </w:r>
      <w:r w:rsidRPr="009A3193">
        <w:rPr>
          <w:bCs/>
          <w:lang w:val="ru-RU"/>
        </w:rPr>
        <w:t xml:space="preserve"> политики. Было проведено много дискуссий по поводу девальвационного давления на таджикский сомони, </w:t>
      </w:r>
      <w:r>
        <w:rPr>
          <w:bCs/>
          <w:lang w:val="ru-RU"/>
        </w:rPr>
        <w:t>ограниченности</w:t>
      </w:r>
      <w:r w:rsidRPr="009A3193">
        <w:rPr>
          <w:bCs/>
          <w:lang w:val="ru-RU"/>
        </w:rPr>
        <w:t xml:space="preserve"> депозитной базы банковского сектора</w:t>
      </w:r>
      <w:r>
        <w:rPr>
          <w:bCs/>
          <w:lang w:val="ru-RU"/>
        </w:rPr>
        <w:t xml:space="preserve"> (</w:t>
      </w:r>
      <w:r w:rsidRPr="009A3193">
        <w:rPr>
          <w:bCs/>
          <w:lang w:val="ru-RU"/>
        </w:rPr>
        <w:t>из-за которой процентные ставки остаются на нынешнем повышенном уровне</w:t>
      </w:r>
      <w:r>
        <w:rPr>
          <w:bCs/>
          <w:lang w:val="ru-RU"/>
        </w:rPr>
        <w:t>)</w:t>
      </w:r>
      <w:r w:rsidRPr="009A3193">
        <w:rPr>
          <w:bCs/>
          <w:lang w:val="ru-RU"/>
        </w:rPr>
        <w:t xml:space="preserve">, или безработицы (в том числе частичной), в целом низких зарплат и ограниченных перспектив в области профессионального развития, в особенности в сельских и отдаленных регионах страны. </w:t>
      </w:r>
      <w:r>
        <w:rPr>
          <w:bCs/>
          <w:lang w:val="ru-RU"/>
        </w:rPr>
        <w:t>П</w:t>
      </w:r>
      <w:r w:rsidRPr="009A3193">
        <w:rPr>
          <w:bCs/>
          <w:lang w:val="ru-RU"/>
        </w:rPr>
        <w:t xml:space="preserve">оощрение </w:t>
      </w:r>
      <w:r w:rsidRPr="009A3193">
        <w:rPr>
          <w:bCs/>
          <w:i/>
          <w:lang w:val="ru-RU"/>
        </w:rPr>
        <w:t>устойчивого предпринимательства</w:t>
      </w:r>
      <w:r w:rsidRPr="009A3193">
        <w:rPr>
          <w:bCs/>
          <w:lang w:val="ru-RU"/>
        </w:rPr>
        <w:t xml:space="preserve"> и формирование доверия, необходимого для </w:t>
      </w:r>
      <w:r w:rsidRPr="009A3193">
        <w:rPr>
          <w:bCs/>
          <w:i/>
          <w:lang w:val="ru-RU"/>
        </w:rPr>
        <w:t>инвестиций</w:t>
      </w:r>
      <w:r w:rsidRPr="009A3193">
        <w:rPr>
          <w:bCs/>
          <w:lang w:val="ru-RU"/>
        </w:rPr>
        <w:t xml:space="preserve"> в новые и более продуктивные виды деятельности</w:t>
      </w:r>
      <w:r>
        <w:rPr>
          <w:bCs/>
          <w:lang w:val="ru-RU"/>
        </w:rPr>
        <w:t xml:space="preserve"> </w:t>
      </w:r>
      <w:r w:rsidRPr="009A3193">
        <w:rPr>
          <w:bCs/>
          <w:lang w:val="ru-RU"/>
        </w:rPr>
        <w:t xml:space="preserve">способно разрешить </w:t>
      </w:r>
      <w:r>
        <w:rPr>
          <w:bCs/>
          <w:lang w:val="ru-RU"/>
        </w:rPr>
        <w:t xml:space="preserve">и </w:t>
      </w:r>
      <w:r w:rsidRPr="009A3193">
        <w:rPr>
          <w:bCs/>
          <w:lang w:val="ru-RU"/>
        </w:rPr>
        <w:t>эти проблемы</w:t>
      </w:r>
      <w:r>
        <w:rPr>
          <w:bCs/>
          <w:lang w:val="ru-RU"/>
        </w:rPr>
        <w:t xml:space="preserve"> тоже</w:t>
      </w:r>
      <w:r w:rsidRPr="009A3193">
        <w:rPr>
          <w:bCs/>
          <w:lang w:val="ru-RU"/>
        </w:rPr>
        <w:t>.</w:t>
      </w:r>
      <w:r w:rsidR="00EB3C78">
        <w:rPr>
          <w:bCs/>
          <w:lang w:val="ru-RU"/>
        </w:rPr>
        <w:t xml:space="preserve"> </w:t>
      </w:r>
      <w:r w:rsidR="003254C5" w:rsidRPr="009A3193">
        <w:rPr>
          <w:bCs/>
          <w:lang w:val="ru-RU"/>
        </w:rPr>
        <w:t xml:space="preserve">Такая целенаправленность сможет повысить уровень занятости и расширить налоговую базу, чтобы помочь Правительству Республики Таджикистан мобилизовать ресурсы, необходимые для эффективных, дальновидных стратегических мер реагирования, с соответствующим балансом инвестиций и благоприятной институциональной суперструктуры. Конечный успех этого стратегического подхода зависит от косвенных инструментов политики, а именно от мер политики, направленных на </w:t>
      </w:r>
      <w:r w:rsidR="003254C5" w:rsidRPr="009A3193">
        <w:rPr>
          <w:bCs/>
          <w:lang w:val="ru-RU"/>
        </w:rPr>
        <w:lastRenderedPageBreak/>
        <w:t xml:space="preserve">укрепление </w:t>
      </w:r>
      <w:r w:rsidR="003254C5" w:rsidRPr="009A3193">
        <w:rPr>
          <w:bCs/>
          <w:i/>
          <w:lang w:val="ru-RU"/>
        </w:rPr>
        <w:t>доверия</w:t>
      </w:r>
      <w:r w:rsidR="003254C5" w:rsidRPr="009A3193">
        <w:rPr>
          <w:bCs/>
          <w:lang w:val="ru-RU"/>
        </w:rPr>
        <w:t xml:space="preserve"> инвесторов и повышение </w:t>
      </w:r>
      <w:r w:rsidR="003254C5" w:rsidRPr="009A3193">
        <w:rPr>
          <w:bCs/>
          <w:i/>
          <w:lang w:val="ru-RU"/>
        </w:rPr>
        <w:t>предсказуемости</w:t>
      </w:r>
      <w:r w:rsidR="003254C5" w:rsidRPr="009A3193">
        <w:rPr>
          <w:bCs/>
          <w:lang w:val="ru-RU"/>
        </w:rPr>
        <w:t xml:space="preserve"> налоговых и таможенных обязательств предпринимателей перед государством.</w:t>
      </w:r>
    </w:p>
    <w:p w14:paraId="0F68C142" w14:textId="77777777" w:rsidR="004E5FFE" w:rsidRPr="009A3193" w:rsidRDefault="004E5FFE" w:rsidP="00C26825">
      <w:pPr>
        <w:jc w:val="both"/>
        <w:rPr>
          <w:bCs/>
          <w:lang w:val="ru-RU"/>
        </w:rPr>
      </w:pPr>
    </w:p>
    <w:p w14:paraId="03A5137B" w14:textId="2898587A" w:rsidR="003254C5" w:rsidRPr="009A3193" w:rsidRDefault="003254C5" w:rsidP="00774009">
      <w:pPr>
        <w:jc w:val="both"/>
        <w:rPr>
          <w:bCs/>
          <w:lang w:val="ru-RU"/>
        </w:rPr>
      </w:pPr>
      <w:r w:rsidRPr="009A3193">
        <w:rPr>
          <w:bCs/>
          <w:lang w:val="ru-RU"/>
        </w:rPr>
        <w:t>КСР признает важные взаимодополняющие реформы, которые осуществляются, чтобы позволить государству эффективно реагир</w:t>
      </w:r>
      <w:r w:rsidR="0065411A" w:rsidRPr="009A3193">
        <w:rPr>
          <w:bCs/>
          <w:lang w:val="ru-RU"/>
        </w:rPr>
        <w:t xml:space="preserve">овать на выявленные проблемы и </w:t>
      </w:r>
      <w:r w:rsidRPr="009A3193">
        <w:rPr>
          <w:bCs/>
          <w:lang w:val="ru-RU"/>
        </w:rPr>
        <w:t xml:space="preserve">воспользоваться существующими возможностями. К ним относится развертывание на национальном уровне </w:t>
      </w:r>
      <w:r w:rsidR="0065411A" w:rsidRPr="009A3193">
        <w:rPr>
          <w:bCs/>
          <w:lang w:val="ru-RU"/>
        </w:rPr>
        <w:t>Программы адресной социальной помощи</w:t>
      </w:r>
      <w:r w:rsidRPr="009A3193">
        <w:rPr>
          <w:bCs/>
          <w:lang w:val="ru-RU"/>
        </w:rPr>
        <w:t>, с помощью которой Правительство Республики Таджикиста</w:t>
      </w:r>
      <w:r w:rsidR="0065411A" w:rsidRPr="009A3193">
        <w:rPr>
          <w:bCs/>
          <w:lang w:val="ru-RU"/>
        </w:rPr>
        <w:t>н</w:t>
      </w:r>
      <w:r w:rsidRPr="009A3193">
        <w:rPr>
          <w:bCs/>
          <w:lang w:val="ru-RU"/>
        </w:rPr>
        <w:t xml:space="preserve"> - в разгар пандемии COVID-19 - предоставило </w:t>
      </w:r>
      <w:r w:rsidR="00BD448C">
        <w:rPr>
          <w:bCs/>
          <w:lang w:val="ru-RU"/>
        </w:rPr>
        <w:t xml:space="preserve">помощь </w:t>
      </w:r>
      <w:r w:rsidRPr="009A3193">
        <w:rPr>
          <w:bCs/>
          <w:lang w:val="ru-RU"/>
        </w:rPr>
        <w:t xml:space="preserve">наиболее уязвимым (и только наиболее уязвимым) домохозяйствам, </w:t>
      </w:r>
      <w:r w:rsidR="00693D39">
        <w:rPr>
          <w:bCs/>
          <w:lang w:val="ru-RU"/>
        </w:rPr>
        <w:t xml:space="preserve">чтобы защитить их </w:t>
      </w:r>
      <w:r w:rsidRPr="009A3193">
        <w:rPr>
          <w:bCs/>
          <w:lang w:val="ru-RU"/>
        </w:rPr>
        <w:t xml:space="preserve">от социально-экономических последствий кризиса. К этой категории относятся текущие реформы по обеспечению </w:t>
      </w:r>
      <w:r w:rsidRPr="009A3193">
        <w:rPr>
          <w:bCs/>
          <w:i/>
          <w:lang w:val="ru-RU"/>
        </w:rPr>
        <w:t xml:space="preserve">финансового оздоровления </w:t>
      </w:r>
      <w:r w:rsidR="0065411A" w:rsidRPr="009A3193">
        <w:rPr>
          <w:bCs/>
          <w:i/>
          <w:lang w:val="ru-RU"/>
        </w:rPr>
        <w:t xml:space="preserve">государственного </w:t>
      </w:r>
      <w:r w:rsidRPr="009A3193">
        <w:rPr>
          <w:bCs/>
          <w:i/>
          <w:lang w:val="ru-RU"/>
        </w:rPr>
        <w:t>энергетического предприятия</w:t>
      </w:r>
      <w:r w:rsidRPr="009A3193">
        <w:rPr>
          <w:bCs/>
          <w:lang w:val="ru-RU"/>
        </w:rPr>
        <w:t xml:space="preserve"> и его конечной способности предоставлять надежное и доступное снабжение чистой энергией внутренним потребителям и потребителям в соседних странах, тем самым укрепляя основу любой успешной экономики. Центральным элементом этих усилий была подготовка проекта налогового кодекса, который - после его утверждения, принятия и реализации - будет знаменовать о приверженности пересмотру тех аспектов во взаимоотношениях между государством и частным сектором, которые сдерживают достаточно динамичный совместный вклад устойчивого предпринимательства в многообещающие цели социально-экономического развития страны.</w:t>
      </w:r>
    </w:p>
    <w:p w14:paraId="14499D7E" w14:textId="77777777" w:rsidR="0085218C" w:rsidRPr="009A3193" w:rsidRDefault="0085218C" w:rsidP="00774009">
      <w:pPr>
        <w:jc w:val="both"/>
        <w:rPr>
          <w:bCs/>
          <w:lang w:val="ru-RU"/>
        </w:rPr>
      </w:pPr>
    </w:p>
    <w:p w14:paraId="246F46CB" w14:textId="7E4BB15A" w:rsidR="00F312CB" w:rsidRDefault="00F312CB" w:rsidP="00774009">
      <w:pPr>
        <w:jc w:val="both"/>
        <w:rPr>
          <w:bCs/>
          <w:lang w:val="ru-RU"/>
        </w:rPr>
      </w:pPr>
      <w:r w:rsidRPr="009A3193">
        <w:rPr>
          <w:bCs/>
          <w:lang w:val="ru-RU"/>
        </w:rPr>
        <w:t xml:space="preserve">Фактически, ожидание скорейшего утверждения и принятия нового налогового кодекса в его нынешней редакции позволит существенно изменить специфические механизм льгот и стимулирования, поощряя предприятия и инвесторов быть как </w:t>
      </w:r>
      <w:r w:rsidRPr="009A3193">
        <w:rPr>
          <w:bCs/>
          <w:i/>
          <w:lang w:val="ru-RU"/>
        </w:rPr>
        <w:t>успешными</w:t>
      </w:r>
      <w:r w:rsidRPr="009A3193">
        <w:rPr>
          <w:bCs/>
          <w:lang w:val="ru-RU"/>
        </w:rPr>
        <w:t xml:space="preserve"> в своей деятельности, так и </w:t>
      </w:r>
      <w:r w:rsidRPr="009A3193">
        <w:rPr>
          <w:bCs/>
          <w:i/>
          <w:lang w:val="ru-RU"/>
        </w:rPr>
        <w:t>максимально прозрачными</w:t>
      </w:r>
      <w:r w:rsidRPr="009A3193">
        <w:rPr>
          <w:bCs/>
          <w:lang w:val="ru-RU"/>
        </w:rPr>
        <w:t xml:space="preserve"> в своих декларациях по налоговым обязательствам. В проект Налогового кодекса заложены принципы и процессы, которые сместят подотчетность Налогового комитета перед Государством </w:t>
      </w:r>
      <w:r w:rsidRPr="009A3193">
        <w:rPr>
          <w:bCs/>
          <w:i/>
          <w:lang w:val="ru-RU"/>
        </w:rPr>
        <w:t>- с выполнения целей по сбору налогов</w:t>
      </w:r>
      <w:r w:rsidRPr="009A3193">
        <w:rPr>
          <w:bCs/>
          <w:lang w:val="ru-RU"/>
        </w:rPr>
        <w:t xml:space="preserve"> со всеми вытекающими последствиями для качества сбора налогов и восприятия предпринимателями привлекательности делового климата в Таджикистане в сторону </w:t>
      </w:r>
      <w:r w:rsidRPr="009A3193">
        <w:rPr>
          <w:bCs/>
          <w:i/>
          <w:lang w:val="ru-RU"/>
        </w:rPr>
        <w:t>повышения уровня добровольного соблюдения</w:t>
      </w:r>
      <w:r w:rsidRPr="009A3193">
        <w:rPr>
          <w:i/>
          <w:lang w:val="ru-RU"/>
        </w:rPr>
        <w:t xml:space="preserve"> (</w:t>
      </w:r>
      <w:r w:rsidRPr="009A3193">
        <w:rPr>
          <w:bCs/>
          <w:i/>
          <w:lang w:val="ru-RU"/>
        </w:rPr>
        <w:t>налогоплательщиками) налогового законодательства</w:t>
      </w:r>
      <w:r w:rsidRPr="009A3193">
        <w:rPr>
          <w:bCs/>
          <w:lang w:val="ru-RU"/>
        </w:rPr>
        <w:t>. Для достижения этой цели</w:t>
      </w:r>
      <w:r w:rsidR="003E6ACD">
        <w:rPr>
          <w:bCs/>
          <w:lang w:val="ru-RU"/>
        </w:rPr>
        <w:t xml:space="preserve"> - </w:t>
      </w:r>
      <w:r w:rsidRPr="009A3193">
        <w:rPr>
          <w:bCs/>
          <w:lang w:val="ru-RU"/>
        </w:rPr>
        <w:t>основной задач</w:t>
      </w:r>
      <w:r w:rsidR="003E6ACD">
        <w:rPr>
          <w:bCs/>
          <w:lang w:val="ru-RU"/>
        </w:rPr>
        <w:t>и</w:t>
      </w:r>
      <w:r w:rsidRPr="009A3193">
        <w:rPr>
          <w:bCs/>
          <w:lang w:val="ru-RU"/>
        </w:rPr>
        <w:t xml:space="preserve"> функционирования современных налоговых органов во всем мире, </w:t>
      </w:r>
      <w:r w:rsidR="00290DF6">
        <w:rPr>
          <w:bCs/>
          <w:lang w:val="ru-RU"/>
        </w:rPr>
        <w:t xml:space="preserve">нужно </w:t>
      </w:r>
      <w:r w:rsidR="003A0D78">
        <w:rPr>
          <w:bCs/>
          <w:lang w:val="ru-RU"/>
        </w:rPr>
        <w:t xml:space="preserve">чтобы </w:t>
      </w:r>
      <w:r w:rsidRPr="009A3193">
        <w:rPr>
          <w:bCs/>
          <w:lang w:val="ru-RU"/>
        </w:rPr>
        <w:t>решения о налоговых проверках принима</w:t>
      </w:r>
      <w:r w:rsidR="003A0D78">
        <w:rPr>
          <w:bCs/>
          <w:lang w:val="ru-RU"/>
        </w:rPr>
        <w:t>лись</w:t>
      </w:r>
      <w:r w:rsidRPr="009A3193">
        <w:rPr>
          <w:bCs/>
          <w:lang w:val="ru-RU"/>
        </w:rPr>
        <w:t xml:space="preserve"> с расставлением приоритетов и подкрепляться оценками </w:t>
      </w:r>
      <w:r w:rsidR="000F339A">
        <w:rPr>
          <w:bCs/>
          <w:lang w:val="ru-RU"/>
        </w:rPr>
        <w:t xml:space="preserve">со стороны </w:t>
      </w:r>
      <w:r w:rsidRPr="009A3193">
        <w:rPr>
          <w:bCs/>
          <w:lang w:val="ru-RU"/>
        </w:rPr>
        <w:t xml:space="preserve">налоговых органов рисков налогоплательщиков, в основном после анализа непротиворечивости информации, представленной в различных налоговых декларациях. В то же время текущий проект налогового кодекса направлен на обеспечение того, чтобы налоговые льготы, предлагаемые в течение заранее определенного периода времени, были подкреплены анализом </w:t>
      </w:r>
      <w:r w:rsidRPr="009A3193">
        <w:rPr>
          <w:bCs/>
          <w:i/>
          <w:lang w:val="ru-RU"/>
        </w:rPr>
        <w:t>на основе ожидаемых величин</w:t>
      </w:r>
      <w:r w:rsidRPr="009A3193">
        <w:rPr>
          <w:bCs/>
          <w:lang w:val="ru-RU"/>
        </w:rPr>
        <w:t xml:space="preserve"> и анализом на основе </w:t>
      </w:r>
      <w:r w:rsidRPr="009A3193">
        <w:rPr>
          <w:bCs/>
          <w:i/>
          <w:lang w:val="ru-RU"/>
        </w:rPr>
        <w:t>фактических величин</w:t>
      </w:r>
      <w:r w:rsidRPr="009A3193">
        <w:rPr>
          <w:bCs/>
          <w:lang w:val="ru-RU"/>
        </w:rPr>
        <w:t>, подтверждающие, что преимущества в области социально-экономического развития (с точки зрения инвестиций, инноваций, создания рабочих мест или регионального развития) перевешивают издержки государства в виде упущенных налоговых поступлений.</w:t>
      </w:r>
    </w:p>
    <w:p w14:paraId="4C40A1EC" w14:textId="77777777" w:rsidR="00D313E4" w:rsidRPr="00AC244B" w:rsidRDefault="00D313E4" w:rsidP="00774009">
      <w:pPr>
        <w:jc w:val="both"/>
        <w:rPr>
          <w:bCs/>
          <w:lang w:val="ru-RU"/>
        </w:rPr>
      </w:pPr>
    </w:p>
    <w:p w14:paraId="6A12BD58" w14:textId="07B33B00" w:rsidR="00F312CB" w:rsidRDefault="00F312CB" w:rsidP="00774009">
      <w:pPr>
        <w:jc w:val="both"/>
        <w:rPr>
          <w:bCs/>
          <w:lang w:val="ru-RU"/>
        </w:rPr>
      </w:pPr>
      <w:r w:rsidRPr="009A3193">
        <w:rPr>
          <w:bCs/>
          <w:lang w:val="ru-RU"/>
        </w:rPr>
        <w:t>Осуществляя эти реформы, у страны есть хорошие возможности для стимулирования экономической активности в регионах и секторах, которые до сих пор не соответствовали заявленному потенциалу. Инвестиции и предпринимательство должны вносить эффективный вклад в развитие производственно-сбытовых цепочек (i) в области сельского хозяйства – хранения – переработки пищевых продуктов, наряду с обеспечением продовольственной безопасности и сертификацией пищевой продукции; (</w:t>
      </w:r>
      <w:proofErr w:type="spellStart"/>
      <w:r w:rsidRPr="009A3193">
        <w:rPr>
          <w:bCs/>
          <w:lang w:val="ru-RU"/>
        </w:rPr>
        <w:t>ii</w:t>
      </w:r>
      <w:proofErr w:type="spellEnd"/>
      <w:r w:rsidRPr="009A3193">
        <w:rPr>
          <w:bCs/>
          <w:lang w:val="ru-RU"/>
        </w:rPr>
        <w:t>) в области выращивания хлопка - текстильного производства - дизайна одежды; (</w:t>
      </w:r>
      <w:proofErr w:type="spellStart"/>
      <w:r w:rsidRPr="009A3193">
        <w:rPr>
          <w:bCs/>
          <w:lang w:val="ru-RU"/>
        </w:rPr>
        <w:t>iii</w:t>
      </w:r>
      <w:proofErr w:type="spellEnd"/>
      <w:r w:rsidRPr="009A3193">
        <w:rPr>
          <w:bCs/>
          <w:lang w:val="ru-RU"/>
        </w:rPr>
        <w:t>) в направлении развития устойчивого туризма, от гостиниц домашнего типа, отелей и ресторанов до ремесленного производства; и (</w:t>
      </w:r>
      <w:proofErr w:type="spellStart"/>
      <w:r w:rsidRPr="009A3193">
        <w:rPr>
          <w:bCs/>
          <w:lang w:val="ru-RU"/>
        </w:rPr>
        <w:t>iv</w:t>
      </w:r>
      <w:proofErr w:type="spellEnd"/>
      <w:r w:rsidRPr="009A3193">
        <w:rPr>
          <w:bCs/>
          <w:lang w:val="ru-RU"/>
        </w:rPr>
        <w:t>) расширение потенциала</w:t>
      </w:r>
      <w:r w:rsidR="005B6963">
        <w:rPr>
          <w:bCs/>
          <w:lang w:val="ru-RU"/>
        </w:rPr>
        <w:t>,</w:t>
      </w:r>
      <w:r w:rsidR="005B6963" w:rsidRPr="005B6963">
        <w:rPr>
          <w:bCs/>
          <w:lang w:val="ru-RU"/>
        </w:rPr>
        <w:t xml:space="preserve"> заложенн</w:t>
      </w:r>
      <w:r w:rsidR="005B6963">
        <w:rPr>
          <w:bCs/>
          <w:lang w:val="ru-RU"/>
        </w:rPr>
        <w:t>ого</w:t>
      </w:r>
      <w:r w:rsidR="005B6963" w:rsidRPr="005B6963">
        <w:rPr>
          <w:bCs/>
          <w:lang w:val="ru-RU"/>
        </w:rPr>
        <w:t xml:space="preserve"> в цифровой трансформации экономики</w:t>
      </w:r>
      <w:r w:rsidR="00662FBA">
        <w:rPr>
          <w:bCs/>
          <w:lang w:val="ru-RU"/>
        </w:rPr>
        <w:t xml:space="preserve"> </w:t>
      </w:r>
      <w:r w:rsidRPr="009A3193">
        <w:rPr>
          <w:bCs/>
          <w:lang w:val="ru-RU"/>
        </w:rPr>
        <w:t>с особыми преимуществами не только для повышения качества оказания государственных услуг, но и, в частности, для новых видов экономической деятельности с целью оказания поддержки тех</w:t>
      </w:r>
      <w:r w:rsidR="002D7812">
        <w:rPr>
          <w:bCs/>
          <w:lang w:val="ru-RU"/>
        </w:rPr>
        <w:t xml:space="preserve">нологически </w:t>
      </w:r>
      <w:r w:rsidRPr="009A3193">
        <w:rPr>
          <w:bCs/>
          <w:lang w:val="ru-RU"/>
        </w:rPr>
        <w:t>подкованной молодежи в сельских и отдаленных регионах.</w:t>
      </w:r>
    </w:p>
    <w:p w14:paraId="59AED310" w14:textId="77777777" w:rsidR="004E4373" w:rsidRDefault="004E4373" w:rsidP="00774009">
      <w:pPr>
        <w:jc w:val="both"/>
        <w:rPr>
          <w:bCs/>
          <w:lang w:val="ru-RU"/>
        </w:rPr>
      </w:pPr>
    </w:p>
    <w:p w14:paraId="7FD1AC80" w14:textId="66BDC992" w:rsidR="009A3193" w:rsidRPr="009A3193" w:rsidRDefault="009A3193" w:rsidP="00774009">
      <w:pPr>
        <w:jc w:val="both"/>
        <w:rPr>
          <w:bCs/>
          <w:lang w:val="ru-RU"/>
        </w:rPr>
      </w:pPr>
      <w:r w:rsidRPr="009A3193">
        <w:rPr>
          <w:bCs/>
          <w:lang w:val="ru-RU"/>
        </w:rPr>
        <w:t xml:space="preserve">Относительным преимуществом в будущем может оказаться тот факт, что в настоящее время в стране имеется относительно узкая база деятельности частного сектора, а также товаров и услуг под брендом «сделано в Таджикистане», в значительной степени компенсируемых за счет импорта товаров и услуг (финансируемых денежными переводами) не производимых внутри страны, включая продукты питания. Вместо того, чтобы реформировать и модернизировать диверсифицированные сектора, в которых преобладают крупные, часто неконкурентоспособные государственные предприятия с большой численностью занятых, Таджикистану необходимо сосредоточиться - в конечном итоге - на менее дорогостоящих и менее комплексных мерах, направленных на укрепление делового климата. В случае успеха это приведет в основном к инвестициям </w:t>
      </w:r>
      <w:r w:rsidRPr="009A3193">
        <w:rPr>
          <w:bCs/>
          <w:i/>
          <w:lang w:val="ru-RU"/>
        </w:rPr>
        <w:t>"с нулевого цикла"</w:t>
      </w:r>
      <w:r w:rsidRPr="009A3193">
        <w:rPr>
          <w:bCs/>
          <w:lang w:val="ru-RU"/>
        </w:rPr>
        <w:t xml:space="preserve"> </w:t>
      </w:r>
      <w:proofErr w:type="gramStart"/>
      <w:r w:rsidRPr="009A3193">
        <w:rPr>
          <w:bCs/>
          <w:lang w:val="ru-RU"/>
        </w:rPr>
        <w:t>-</w:t>
      </w:r>
      <w:r w:rsidR="00A1198B">
        <w:rPr>
          <w:bCs/>
          <w:lang w:val="ru-RU"/>
        </w:rPr>
        <w:t xml:space="preserve"> </w:t>
      </w:r>
      <w:r w:rsidRPr="009A3193">
        <w:rPr>
          <w:bCs/>
          <w:lang w:val="ru-RU"/>
        </w:rPr>
        <w:t>это</w:t>
      </w:r>
      <w:proofErr w:type="gramEnd"/>
      <w:r w:rsidRPr="009A3193">
        <w:rPr>
          <w:bCs/>
          <w:lang w:val="ru-RU"/>
        </w:rPr>
        <w:t xml:space="preserve"> новые инвестиции, новые технологии, более высокая производительность, дополнительные возможности трудоустройства при относительно более высокой заработной плате и более широкой налоговой базе.</w:t>
      </w:r>
    </w:p>
    <w:p w14:paraId="352C827F" w14:textId="77777777" w:rsidR="00B5660A" w:rsidRPr="009A3193" w:rsidRDefault="00B5660A" w:rsidP="00774009">
      <w:pPr>
        <w:jc w:val="both"/>
        <w:rPr>
          <w:bCs/>
          <w:lang w:val="ru-RU"/>
        </w:rPr>
      </w:pPr>
    </w:p>
    <w:p w14:paraId="0BD1701A" w14:textId="3CD8A3A0" w:rsidR="009A3193" w:rsidRDefault="00C97264" w:rsidP="0077400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Развитие </w:t>
      </w:r>
      <w:r w:rsidR="009A3193" w:rsidRPr="009A3193">
        <w:rPr>
          <w:bCs/>
          <w:lang w:val="ru-RU"/>
        </w:rPr>
        <w:t>экологически чистых источников</w:t>
      </w:r>
      <w:r w:rsidR="00CC2A60">
        <w:rPr>
          <w:bCs/>
          <w:lang w:val="ru-RU"/>
        </w:rPr>
        <w:t xml:space="preserve"> энергии</w:t>
      </w:r>
      <w:r w:rsidR="009A3193" w:rsidRPr="009A3193">
        <w:rPr>
          <w:bCs/>
          <w:lang w:val="ru-RU"/>
        </w:rPr>
        <w:t>, ориентация на эффективные меры политики, направленные на повышение устойчивости к рискам социально-экономической нестабильности, и в целом конструктивная роль регионов в ключевых секторах развития, включая водные ресурсы, повысили интерес столиц и штаб-квартир членов КСР</w:t>
      </w:r>
      <w:r w:rsidR="00AA52B9">
        <w:rPr>
          <w:bCs/>
          <w:lang w:val="ru-RU"/>
        </w:rPr>
        <w:t xml:space="preserve"> </w:t>
      </w:r>
      <w:r w:rsidR="00AA52B9" w:rsidRPr="00AC244B">
        <w:rPr>
          <w:bCs/>
          <w:lang w:val="ru-RU"/>
        </w:rPr>
        <w:t>к Таджикистану</w:t>
      </w:r>
      <w:r w:rsidR="009A3193" w:rsidRPr="00AC244B">
        <w:rPr>
          <w:bCs/>
          <w:lang w:val="ru-RU"/>
        </w:rPr>
        <w:t>.</w:t>
      </w:r>
      <w:r w:rsidR="009A3193" w:rsidRPr="009A3193">
        <w:rPr>
          <w:bCs/>
          <w:lang w:val="ru-RU"/>
        </w:rPr>
        <w:t xml:space="preserve"> Наблюдается возросшая приверженность </w:t>
      </w:r>
      <w:r w:rsidR="00790A4D">
        <w:rPr>
          <w:bCs/>
          <w:lang w:val="ru-RU"/>
        </w:rPr>
        <w:t>П</w:t>
      </w:r>
      <w:r w:rsidR="009A3193" w:rsidRPr="009A3193">
        <w:rPr>
          <w:bCs/>
          <w:lang w:val="ru-RU"/>
        </w:rPr>
        <w:t>равительства устранению основных ограничений в области развития, включая те, которые обсуждались в ходе предыдущих круглых столов Консультативного совета. Члены КСР воодушевлены шагами, предпринятыми для продвижения перспектив развития Таджикистана, и привержены продолжению тесного сотрудничества на пути к стимулированию инвестиций и устойчивого предпринимательства, разделяя мнение о том, что они представляют собой основные факторы к раскрытию значительного потенциала страны в области развития и ускорению динамики к зеленому, устойчивому и всестороннему развитию.</w:t>
      </w:r>
    </w:p>
    <w:p w14:paraId="39008103" w14:textId="77777777" w:rsidR="00803F2C" w:rsidRPr="00AA52B9" w:rsidRDefault="00803F2C" w:rsidP="00774009">
      <w:pPr>
        <w:jc w:val="both"/>
        <w:rPr>
          <w:bCs/>
          <w:lang w:val="ru-RU"/>
        </w:rPr>
      </w:pPr>
    </w:p>
    <w:sectPr w:rsidR="00803F2C" w:rsidRPr="00AA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2BC3" w14:textId="77777777" w:rsidR="00655548" w:rsidRDefault="00655548" w:rsidP="00455AA1">
      <w:r>
        <w:separator/>
      </w:r>
    </w:p>
  </w:endnote>
  <w:endnote w:type="continuationSeparator" w:id="0">
    <w:p w14:paraId="7B335B35" w14:textId="77777777" w:rsidR="00655548" w:rsidRDefault="00655548" w:rsidP="0045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049E" w14:textId="77777777" w:rsidR="00655548" w:rsidRDefault="00655548" w:rsidP="00455AA1">
      <w:r>
        <w:separator/>
      </w:r>
    </w:p>
  </w:footnote>
  <w:footnote w:type="continuationSeparator" w:id="0">
    <w:p w14:paraId="1272B302" w14:textId="77777777" w:rsidR="00655548" w:rsidRDefault="00655548" w:rsidP="0045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1F9B"/>
    <w:multiLevelType w:val="hybridMultilevel"/>
    <w:tmpl w:val="66E2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25"/>
    <w:rsid w:val="00000639"/>
    <w:rsid w:val="00000903"/>
    <w:rsid w:val="00012DD1"/>
    <w:rsid w:val="000165A0"/>
    <w:rsid w:val="00033D73"/>
    <w:rsid w:val="00037845"/>
    <w:rsid w:val="000428BF"/>
    <w:rsid w:val="00045CD6"/>
    <w:rsid w:val="00047AA3"/>
    <w:rsid w:val="000724CE"/>
    <w:rsid w:val="00085D24"/>
    <w:rsid w:val="000A6D85"/>
    <w:rsid w:val="000A7856"/>
    <w:rsid w:val="000B318D"/>
    <w:rsid w:val="000C6965"/>
    <w:rsid w:val="000F08CC"/>
    <w:rsid w:val="000F12F7"/>
    <w:rsid w:val="000F339A"/>
    <w:rsid w:val="000F3CBE"/>
    <w:rsid w:val="001028F2"/>
    <w:rsid w:val="001200C2"/>
    <w:rsid w:val="00123295"/>
    <w:rsid w:val="00130E37"/>
    <w:rsid w:val="00136712"/>
    <w:rsid w:val="00142E57"/>
    <w:rsid w:val="00146A69"/>
    <w:rsid w:val="0015392E"/>
    <w:rsid w:val="0015520F"/>
    <w:rsid w:val="001651A6"/>
    <w:rsid w:val="00191475"/>
    <w:rsid w:val="001A54F6"/>
    <w:rsid w:val="001B71DD"/>
    <w:rsid w:val="001C79F4"/>
    <w:rsid w:val="001F0B47"/>
    <w:rsid w:val="001F19A2"/>
    <w:rsid w:val="001F3C8D"/>
    <w:rsid w:val="00212BA8"/>
    <w:rsid w:val="002206BC"/>
    <w:rsid w:val="002237E2"/>
    <w:rsid w:val="00233AB5"/>
    <w:rsid w:val="00246E84"/>
    <w:rsid w:val="002667B8"/>
    <w:rsid w:val="00274C5D"/>
    <w:rsid w:val="00282CEF"/>
    <w:rsid w:val="00285A38"/>
    <w:rsid w:val="0029076C"/>
    <w:rsid w:val="00290DCC"/>
    <w:rsid w:val="00290DF6"/>
    <w:rsid w:val="002A3067"/>
    <w:rsid w:val="002D7812"/>
    <w:rsid w:val="00307CDC"/>
    <w:rsid w:val="00311A00"/>
    <w:rsid w:val="0031610D"/>
    <w:rsid w:val="00323821"/>
    <w:rsid w:val="003254C5"/>
    <w:rsid w:val="00342136"/>
    <w:rsid w:val="0034504F"/>
    <w:rsid w:val="00355CC3"/>
    <w:rsid w:val="003710A6"/>
    <w:rsid w:val="0038569F"/>
    <w:rsid w:val="00392307"/>
    <w:rsid w:val="003A0D78"/>
    <w:rsid w:val="003C4E4A"/>
    <w:rsid w:val="003D0072"/>
    <w:rsid w:val="003E228D"/>
    <w:rsid w:val="003E5A8B"/>
    <w:rsid w:val="003E6ACD"/>
    <w:rsid w:val="003E7F3D"/>
    <w:rsid w:val="003F25BA"/>
    <w:rsid w:val="003F3319"/>
    <w:rsid w:val="004141FC"/>
    <w:rsid w:val="00417BD9"/>
    <w:rsid w:val="004404C4"/>
    <w:rsid w:val="00440C90"/>
    <w:rsid w:val="00441B8D"/>
    <w:rsid w:val="00455AA1"/>
    <w:rsid w:val="004777C9"/>
    <w:rsid w:val="004A1DD9"/>
    <w:rsid w:val="004C567C"/>
    <w:rsid w:val="004E4373"/>
    <w:rsid w:val="004E4BB4"/>
    <w:rsid w:val="004E5FFE"/>
    <w:rsid w:val="004E6894"/>
    <w:rsid w:val="004E6FF7"/>
    <w:rsid w:val="004F60D3"/>
    <w:rsid w:val="005257E5"/>
    <w:rsid w:val="00532764"/>
    <w:rsid w:val="00547DF4"/>
    <w:rsid w:val="00552205"/>
    <w:rsid w:val="005764E4"/>
    <w:rsid w:val="005900A1"/>
    <w:rsid w:val="00597B96"/>
    <w:rsid w:val="005B5895"/>
    <w:rsid w:val="005B6963"/>
    <w:rsid w:val="005D4864"/>
    <w:rsid w:val="005D4C0E"/>
    <w:rsid w:val="0060462A"/>
    <w:rsid w:val="00620229"/>
    <w:rsid w:val="006277EE"/>
    <w:rsid w:val="0065411A"/>
    <w:rsid w:val="00655548"/>
    <w:rsid w:val="00662FBA"/>
    <w:rsid w:val="00664270"/>
    <w:rsid w:val="0068083E"/>
    <w:rsid w:val="00682FAE"/>
    <w:rsid w:val="00685890"/>
    <w:rsid w:val="00693D39"/>
    <w:rsid w:val="006969C5"/>
    <w:rsid w:val="00696DB8"/>
    <w:rsid w:val="006B64A5"/>
    <w:rsid w:val="006C40AA"/>
    <w:rsid w:val="006C4C28"/>
    <w:rsid w:val="006D110E"/>
    <w:rsid w:val="006F4F47"/>
    <w:rsid w:val="00707018"/>
    <w:rsid w:val="00732F85"/>
    <w:rsid w:val="00753C64"/>
    <w:rsid w:val="00755FEF"/>
    <w:rsid w:val="007655BE"/>
    <w:rsid w:val="00774009"/>
    <w:rsid w:val="00790A4D"/>
    <w:rsid w:val="00792D76"/>
    <w:rsid w:val="0079432B"/>
    <w:rsid w:val="007A3B10"/>
    <w:rsid w:val="007B4278"/>
    <w:rsid w:val="007C3948"/>
    <w:rsid w:val="007C5374"/>
    <w:rsid w:val="007E1C4E"/>
    <w:rsid w:val="00803C19"/>
    <w:rsid w:val="00803F2C"/>
    <w:rsid w:val="00820608"/>
    <w:rsid w:val="0084166D"/>
    <w:rsid w:val="0084667D"/>
    <w:rsid w:val="0085218C"/>
    <w:rsid w:val="00872D96"/>
    <w:rsid w:val="0087453F"/>
    <w:rsid w:val="00891712"/>
    <w:rsid w:val="0089609E"/>
    <w:rsid w:val="008D088A"/>
    <w:rsid w:val="008F3A0D"/>
    <w:rsid w:val="00907093"/>
    <w:rsid w:val="009072BF"/>
    <w:rsid w:val="00933209"/>
    <w:rsid w:val="00933565"/>
    <w:rsid w:val="009841D9"/>
    <w:rsid w:val="0098437A"/>
    <w:rsid w:val="009855E6"/>
    <w:rsid w:val="009A3193"/>
    <w:rsid w:val="009C0F54"/>
    <w:rsid w:val="009C2C85"/>
    <w:rsid w:val="009C3B2A"/>
    <w:rsid w:val="009D08BD"/>
    <w:rsid w:val="009E7DC2"/>
    <w:rsid w:val="00A031D0"/>
    <w:rsid w:val="00A05D60"/>
    <w:rsid w:val="00A1198B"/>
    <w:rsid w:val="00A14B76"/>
    <w:rsid w:val="00A2028E"/>
    <w:rsid w:val="00A35ED6"/>
    <w:rsid w:val="00A419AD"/>
    <w:rsid w:val="00A5420F"/>
    <w:rsid w:val="00A81CCF"/>
    <w:rsid w:val="00A82289"/>
    <w:rsid w:val="00AA3DE4"/>
    <w:rsid w:val="00AA4978"/>
    <w:rsid w:val="00AA52B9"/>
    <w:rsid w:val="00AC244B"/>
    <w:rsid w:val="00AC254F"/>
    <w:rsid w:val="00AC3029"/>
    <w:rsid w:val="00AC3E5A"/>
    <w:rsid w:val="00AC6A3F"/>
    <w:rsid w:val="00AD3FC6"/>
    <w:rsid w:val="00AD502D"/>
    <w:rsid w:val="00AF37C3"/>
    <w:rsid w:val="00B1087E"/>
    <w:rsid w:val="00B22B81"/>
    <w:rsid w:val="00B328BB"/>
    <w:rsid w:val="00B33BE8"/>
    <w:rsid w:val="00B46982"/>
    <w:rsid w:val="00B53434"/>
    <w:rsid w:val="00B5660A"/>
    <w:rsid w:val="00B63FDC"/>
    <w:rsid w:val="00B772EC"/>
    <w:rsid w:val="00B87A16"/>
    <w:rsid w:val="00BB0D78"/>
    <w:rsid w:val="00BB1C03"/>
    <w:rsid w:val="00BB4274"/>
    <w:rsid w:val="00BB5DE0"/>
    <w:rsid w:val="00BC1946"/>
    <w:rsid w:val="00BD448C"/>
    <w:rsid w:val="00BF4D24"/>
    <w:rsid w:val="00C0648F"/>
    <w:rsid w:val="00C25F88"/>
    <w:rsid w:val="00C26825"/>
    <w:rsid w:val="00C50293"/>
    <w:rsid w:val="00C522D5"/>
    <w:rsid w:val="00C71F68"/>
    <w:rsid w:val="00C765AE"/>
    <w:rsid w:val="00C97264"/>
    <w:rsid w:val="00CC2A60"/>
    <w:rsid w:val="00CC57C0"/>
    <w:rsid w:val="00CE269F"/>
    <w:rsid w:val="00CE298E"/>
    <w:rsid w:val="00CE50B7"/>
    <w:rsid w:val="00CE5249"/>
    <w:rsid w:val="00CF6882"/>
    <w:rsid w:val="00D052C7"/>
    <w:rsid w:val="00D07024"/>
    <w:rsid w:val="00D13638"/>
    <w:rsid w:val="00D13DB9"/>
    <w:rsid w:val="00D21F5D"/>
    <w:rsid w:val="00D313E4"/>
    <w:rsid w:val="00D35D9E"/>
    <w:rsid w:val="00D62B9E"/>
    <w:rsid w:val="00D83825"/>
    <w:rsid w:val="00D9613E"/>
    <w:rsid w:val="00DB195E"/>
    <w:rsid w:val="00DD538D"/>
    <w:rsid w:val="00DD73FD"/>
    <w:rsid w:val="00DE02D1"/>
    <w:rsid w:val="00E044E4"/>
    <w:rsid w:val="00E04DBA"/>
    <w:rsid w:val="00E21B34"/>
    <w:rsid w:val="00E36106"/>
    <w:rsid w:val="00E4077C"/>
    <w:rsid w:val="00E60C25"/>
    <w:rsid w:val="00E924D4"/>
    <w:rsid w:val="00E95948"/>
    <w:rsid w:val="00EA26DB"/>
    <w:rsid w:val="00EA3BE3"/>
    <w:rsid w:val="00EB1FEA"/>
    <w:rsid w:val="00EB3A45"/>
    <w:rsid w:val="00EB3C78"/>
    <w:rsid w:val="00EB5724"/>
    <w:rsid w:val="00EF5C5F"/>
    <w:rsid w:val="00F2207E"/>
    <w:rsid w:val="00F312CB"/>
    <w:rsid w:val="00F32912"/>
    <w:rsid w:val="00F55E95"/>
    <w:rsid w:val="00F6787C"/>
    <w:rsid w:val="00F817B3"/>
    <w:rsid w:val="00F90FBC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3623"/>
  <w15:chartTrackingRefBased/>
  <w15:docId w15:val="{FA1EA42F-D169-41D0-A2C5-89BD2F9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Jan-Peter Olters</dc:creator>
  <cp:keywords/>
  <dc:description/>
  <cp:lastModifiedBy>Nargis Es</cp:lastModifiedBy>
  <cp:revision>45</cp:revision>
  <dcterms:created xsi:type="dcterms:W3CDTF">2021-07-06T11:33:00Z</dcterms:created>
  <dcterms:modified xsi:type="dcterms:W3CDTF">2021-07-06T15:06:00Z</dcterms:modified>
</cp:coreProperties>
</file>